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Carole Colling – SADDLE.LU </w:t>
      </w:r>
      <w:r w:rsidDel="00000000" w:rsidR="00000000" w:rsidRPr="00000000">
        <w:drawing>
          <wp:anchor allowOverlap="1" behindDoc="0" distB="0" distT="0" distL="114300" distR="114300" hidden="0" layoutInCell="1" locked="0" relativeHeight="0" simplePos="0">
            <wp:simplePos x="0" y="0"/>
            <wp:positionH relativeFrom="column">
              <wp:posOffset>4724400</wp:posOffset>
            </wp:positionH>
            <wp:positionV relativeFrom="paragraph">
              <wp:posOffset>-104774</wp:posOffset>
            </wp:positionV>
            <wp:extent cx="2143125" cy="155257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43125" cy="1552575"/>
                    </a:xfrm>
                    <a:prstGeom prst="rect"/>
                    <a:ln/>
                  </pic:spPr>
                </pic:pic>
              </a:graphicData>
            </a:graphic>
          </wp:anchor>
        </w:drawing>
      </w:r>
    </w:p>
    <w:p w:rsidR="00000000" w:rsidDel="00000000" w:rsidP="00000000" w:rsidRDefault="00000000" w:rsidRPr="00000000" w14:paraId="00000002">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TVA: LU25824859</w:t>
      </w:r>
    </w:p>
    <w:p w:rsidR="00000000" w:rsidDel="00000000" w:rsidP="00000000" w:rsidRDefault="00000000" w:rsidRPr="00000000" w14:paraId="00000003">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Osteopathie, Physiotherapeut, Trainerin</w:t>
      </w:r>
    </w:p>
    <w:p w:rsidR="00000000" w:rsidDel="00000000" w:rsidP="00000000" w:rsidRDefault="00000000" w:rsidRPr="00000000" w14:paraId="00000004">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osteopathisch geprüfter Sattelanpasser</w:t>
      </w:r>
    </w:p>
    <w:p w:rsidR="00000000" w:rsidDel="00000000" w:rsidP="00000000" w:rsidRDefault="00000000" w:rsidRPr="00000000" w14:paraId="00000005">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Tél: +352 691628252</w:t>
      </w:r>
    </w:p>
    <w:p w:rsidR="00000000" w:rsidDel="00000000" w:rsidP="00000000" w:rsidRDefault="00000000" w:rsidRPr="00000000" w14:paraId="00000006">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Banque et Caisse d'Epargne de l'Etat Luxembourg                                                 </w:t>
      </w:r>
    </w:p>
    <w:p w:rsidR="00000000" w:rsidDel="00000000" w:rsidP="00000000" w:rsidRDefault="00000000" w:rsidRPr="00000000" w14:paraId="00000007">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Compte IBAN: LU22 0019 5155 8017 0000</w:t>
      </w:r>
    </w:p>
    <w:p w:rsidR="00000000" w:rsidDel="00000000" w:rsidP="00000000" w:rsidRDefault="00000000" w:rsidRPr="00000000" w14:paraId="00000008">
      <w:pPr>
        <w:shd w:fill="c5e0b3" w:val="clear"/>
        <w:spacing w:after="0" w:line="240" w:lineRule="auto"/>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Swift Bic: BCEELULL</w:t>
      </w:r>
    </w:p>
    <w:p w:rsidR="00000000" w:rsidDel="00000000" w:rsidP="00000000" w:rsidRDefault="00000000" w:rsidRPr="00000000" w14:paraId="00000009">
      <w:pPr>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shd w:fill="a8d08d" w:val="clear"/>
        <w:jc w:val="both"/>
        <w:rPr>
          <w:rFonts w:ascii="Arial Narrow" w:cs="Arial Narrow" w:eastAsia="Arial Narrow" w:hAnsi="Arial Narrow"/>
          <w:b w:val="1"/>
          <w:color w:val="538135"/>
          <w:sz w:val="24"/>
          <w:szCs w:val="24"/>
        </w:rPr>
      </w:pPr>
      <w:r w:rsidDel="00000000" w:rsidR="00000000" w:rsidRPr="00000000">
        <w:rPr>
          <w:rFonts w:ascii="Arial Narrow" w:cs="Arial Narrow" w:eastAsia="Arial Narrow" w:hAnsi="Arial Narrow"/>
          <w:b w:val="1"/>
          <w:color w:val="538135"/>
          <w:sz w:val="24"/>
          <w:szCs w:val="24"/>
          <w:rtl w:val="0"/>
        </w:rPr>
        <w:t xml:space="preserve">Regelungen für Kommissionssättel</w:t>
      </w:r>
    </w:p>
    <w:p w:rsidR="00000000" w:rsidDel="00000000" w:rsidP="00000000" w:rsidRDefault="00000000" w:rsidRPr="00000000" w14:paraId="0000000B">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Die kompletten AGB’s können Sie auf unserer Homepage unter </w:t>
      </w:r>
      <w:hyperlink r:id="rId8">
        <w:r w:rsidDel="00000000" w:rsidR="00000000" w:rsidRPr="00000000">
          <w:rPr>
            <w:rFonts w:ascii="Arial Narrow" w:cs="Arial Narrow" w:eastAsia="Arial Narrow" w:hAnsi="Arial Narrow"/>
            <w:color w:val="1155cc"/>
            <w:sz w:val="24"/>
            <w:szCs w:val="24"/>
            <w:u w:val="single"/>
            <w:rtl w:val="0"/>
          </w:rPr>
          <w:t xml:space="preserve">https://shop.carole-colling.com/policies/terms-of-service</w:t>
        </w:r>
      </w:hyperlink>
      <w:r w:rsidDel="00000000" w:rsidR="00000000" w:rsidRPr="00000000">
        <w:rPr>
          <w:rFonts w:ascii="Arial Narrow" w:cs="Arial Narrow" w:eastAsia="Arial Narrow" w:hAnsi="Arial Narrow"/>
          <w:sz w:val="24"/>
          <w:szCs w:val="24"/>
          <w:rtl w:val="0"/>
        </w:rPr>
        <w:t xml:space="preserve"> nachlesen.</w:t>
      </w:r>
    </w:p>
    <w:p w:rsidR="00000000" w:rsidDel="00000000" w:rsidP="00000000" w:rsidRDefault="00000000" w:rsidRPr="00000000" w14:paraId="0000000D">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Geltung der Bedingungen: Für die zwischen Carole Colling (folgend „Kommissionär“ genannt) und dem Eigentümer /Verkäufer des Kommissionssattels (folgend „Verkäufer“ genannt) geschlossenen Kommissionsverträge gelten ausschließlich die nachfolgenden Bestimmungen.</w:t>
      </w:r>
    </w:p>
    <w:p w:rsidR="00000000" w:rsidDel="00000000" w:rsidP="00000000" w:rsidRDefault="00000000" w:rsidRPr="00000000" w14:paraId="0000000F">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 Der Verkäufer verpflichtet sich, den Kommissionssattel zum Kommissionär zu bringen oder es auf eigene Gefahr und Kosten an den Kommissionär zu schicken. Der Weitervermittlungsvertrag wird für mindestens 8 Monate abgeschlossen und verlängert sich stillschweigend auf unbegrenzte Dauer. Möchte der Verkäufer den Sattel vor diesem Zeitraum abholen, ist der Vertrag gekündigt und es fällt eine Bearbeitungsgebühr von 150 € an. Ist der Sattel nach den 8 Monaten nicht verkauft worden, so verlängert sich der Kommissionsvertrag automatisch (ohne weiteren Kosten), es sei denn, der Verkäufer teilt dem Kommissionär mit, den Vertrag beenden zu wollen. In diesem Fall muss der Verkäufer den Sattel persönlich abholen oder der Kommissionssattel wird an den Verkäufer zurückgesendet. Die Kosten für den Rückversand übernimmt der Verkäufer.</w:t>
      </w:r>
    </w:p>
    <w:p w:rsidR="00000000" w:rsidDel="00000000" w:rsidP="00000000" w:rsidRDefault="00000000" w:rsidRPr="00000000" w14:paraId="00000011">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 Der Kommissionär ist verpflichtet, den Verkäufer über den Verkauf des Sattels zu benachrichtigen.</w:t>
      </w:r>
    </w:p>
    <w:p w:rsidR="00000000" w:rsidDel="00000000" w:rsidP="00000000" w:rsidRDefault="00000000" w:rsidRPr="00000000" w14:paraId="00000013">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Die Auszahlung des vereinbarten Betrages (abzüglich einer Kommission von 320€) erfolgt per Überweisung auf das im Vermittlungsvertrag angegebene Konto. </w:t>
      </w:r>
    </w:p>
    <w:p w:rsidR="00000000" w:rsidDel="00000000" w:rsidP="00000000" w:rsidRDefault="00000000" w:rsidRPr="00000000" w14:paraId="00000014">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 Die Zeit der Vermittlung (Kommissionszeit) wird zunächst auf 8 Monaten festgelegt, sie verlängert sich stillschweigend auf unbegrenzte Dauer. Sie endet durch den Verkauf des Sattels oder durch die Abholung durch den Verkäufer bzw. die Rücksendung auf dem Postweg. </w:t>
      </w:r>
    </w:p>
    <w:p w:rsidR="00000000" w:rsidDel="00000000" w:rsidP="00000000" w:rsidRDefault="00000000" w:rsidRPr="00000000" w14:paraId="00000016">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 Versandkosten: Der Rückversand des Kommissionssattels erfolgt in der Regel mit der Luxemburger Post. </w:t>
      </w:r>
    </w:p>
    <w:p w:rsidR="00000000" w:rsidDel="00000000" w:rsidP="00000000" w:rsidRDefault="00000000" w:rsidRPr="00000000" w14:paraId="00000018">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Bei einem Versicherungswert bis 500,- € liegen die Rücksendekosten bei 24 €, bei einem Wert bis 2500,- € bei 50 €. </w:t>
      </w:r>
    </w:p>
    <w:p w:rsidR="00000000" w:rsidDel="00000000" w:rsidP="00000000" w:rsidRDefault="00000000" w:rsidRPr="00000000" w14:paraId="00000019">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 Für die Kommissionierung des Kommissionssattels werden 320 € verrechnet. Diese werden dann vom Kaufpreis abgezogen. Sie sind unabhängig vom Verkauf des Kommissionsgutes. Die Kommissionierungsgebühr enthält u.a. die gesetzliche Mehrwertsteuer, sämtliche Versicherungen, die Reinigung des Gebrauchtsattels, die online Werbung, das sichere Aufbewahren in einem trockenen Lager.</w:t>
      </w:r>
    </w:p>
    <w:p w:rsidR="00000000" w:rsidDel="00000000" w:rsidP="00000000" w:rsidRDefault="00000000" w:rsidRPr="00000000" w14:paraId="0000001B">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 Das Kommissionsgut ist während der Kommissionszeit beim Kommissionär gegen Diebstahl und Brandschäden versichert.</w:t>
      </w:r>
    </w:p>
    <w:p w:rsidR="00000000" w:rsidDel="00000000" w:rsidP="00000000" w:rsidRDefault="00000000" w:rsidRPr="00000000" w14:paraId="0000001D">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 Gerichtsstand ist das für Luxemburg zuständige Gericht.</w:t>
      </w:r>
    </w:p>
    <w:p w:rsidR="00000000" w:rsidDel="00000000" w:rsidP="00000000" w:rsidRDefault="00000000" w:rsidRPr="00000000" w14:paraId="0000001F">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 Salvatoresche Klausel: Sollte eine der vorerwähnten Klauseln nichtig oder anfechtbar sein, so wird dadurch die Wirksamkeit der übrigen Klauseln nicht berührt.</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L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prechblasentext">
    <w:name w:val="Balloon Text"/>
    <w:basedOn w:val="Standard"/>
    <w:link w:val="SprechblasentextZchn"/>
    <w:uiPriority w:val="99"/>
    <w:semiHidden w:val="1"/>
    <w:unhideWhenUsed w:val="1"/>
    <w:rsid w:val="001E72D2"/>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1E72D2"/>
    <w:rPr>
      <w:rFonts w:ascii="Segoe UI" w:cs="Segoe UI" w:hAnsi="Segoe UI"/>
      <w:sz w:val="18"/>
      <w:szCs w:val="18"/>
    </w:rPr>
  </w:style>
  <w:style w:type="character" w:styleId="Hyperlink">
    <w:name w:val="Hyperlink"/>
    <w:basedOn w:val="Absatz-Standardschriftart"/>
    <w:uiPriority w:val="99"/>
    <w:unhideWhenUsed w:val="1"/>
    <w:rsid w:val="00BC099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hop.carole-colling.com/policies/terms-of-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t3g3fzv7ZtRBib24bl1Spo/7g==">CgMxLjA4AHIhMVJsUkN2VTVNQnczam5xd3ZFOENuY2taLVdZTEdETVdP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2022-11-06T08:16:00Z</dcterms:created>
  <dc:creator>Windows-Benutzer</dc:creator>
</cp:coreProperties>
</file>